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Protocol contra l'Assetjament Sexual Ball de diablons i Víbria del Vendrell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Objectiu del Protocol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Aquest protocol té com a objectiu prevenir i abordar qualsevol situació d’assetjament sexual i/o per raó de sexe dins de l’entitat infantil, establint mecanismes clars de prevenció, detecció, actuació i resolució de possibles casos. S’hi inclouen les eines i recursos necessaris per garantir la protecció, el respecte, i els drets de les persones afectades, amb especial atenció als grups vulnerables.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Definició dels Comportaments a Prevenir i Tipologies d'Assetjament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2.1. Comportaments a Prevenir i Abordar:</w:t>
      </w:r>
      <w:r w:rsidDel="00000000" w:rsidR="00000000" w:rsidRPr="00000000">
        <w:rPr>
          <w:rtl w:val="0"/>
        </w:rPr>
        <w:t xml:space="preserve"> L’assetjament sexual és un conjunt de comportaments d’índole sexual no desitjats, que poden incloure comentaris, gestos, mirades, tocaments, peticions de favors sexuals, intimidació, amenaces o qualsevol altra acció que condicioni el benestar, la seguretat o la integritat d’una persona. Els comportaments a prevenir inclouen, però no es limiten a: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Comentaris sexuals, burlesques o degradants.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Contactes físics no desitjats o invasió d’espai personal.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Acostament forçat o intimidatori amb finalitats sexuals.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Publicació d’imatges o contingut sexual sense consentiment.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Creació d’un ambient intimidatori o hostil.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2.2. Tipologies d'Assetjament Sexual: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Assetjament Sexual</w:t>
      </w:r>
      <w:r w:rsidDel="00000000" w:rsidR="00000000" w:rsidRPr="00000000">
        <w:rPr>
          <w:rtl w:val="0"/>
        </w:rPr>
        <w:t xml:space="preserve">: Qualsevol comportament sexual no desitjat que afecta la dignitat d’una persona. Pot ser de natura física (tocar, acariciar), verbal (comentaris inapropiats), o no verbal (mirades o gestos).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Assetjament Sexual per Raó de Sexe</w:t>
      </w:r>
      <w:r w:rsidDel="00000000" w:rsidR="00000000" w:rsidRPr="00000000">
        <w:rPr>
          <w:rtl w:val="0"/>
        </w:rPr>
        <w:t xml:space="preserve">: Consisteix en un tractament diferenciat per motius de sexe, orientat a condicionar o limitar els drets de les persones. Per exemple, la condició d’acceptar una situació d’assetjament a canvi d’obtenir un dret o benefici.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2.3. Tipus de Víncles entre les Persones Involucrades: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Vincle de Poder (Autoritat)</w:t>
      </w:r>
      <w:r w:rsidDel="00000000" w:rsidR="00000000" w:rsidRPr="00000000">
        <w:rPr>
          <w:rtl w:val="0"/>
        </w:rPr>
        <w:t xml:space="preserve">: Quan la persona que assetja té una posició d'autoritat (ex. monitors/es, responsables, adults vinculats a l’entitat) respecte a la víctima.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Vincle entre Iguals</w:t>
      </w:r>
      <w:r w:rsidDel="00000000" w:rsidR="00000000" w:rsidRPr="00000000">
        <w:rPr>
          <w:rtl w:val="0"/>
        </w:rPr>
        <w:t xml:space="preserve">: Quan l’assetjament es produeix entre companys o companyes d’activitats dins de l’entitat.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Grups d'Especial Atenció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S’han de prendre mesures específiques per a les persones que formen part de grups vulnerabilitzats, com ara: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Infants</w:t>
      </w:r>
      <w:r w:rsidDel="00000000" w:rsidR="00000000" w:rsidRPr="00000000">
        <w:rPr>
          <w:rtl w:val="0"/>
        </w:rPr>
        <w:t xml:space="preserve">: La seva immaduresa emocional i psicològica pot dificultar la comprensió del que constitueix assetjament i la identificació de les seves conseqüències.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Adolescents</w:t>
      </w:r>
      <w:r w:rsidDel="00000000" w:rsidR="00000000" w:rsidRPr="00000000">
        <w:rPr>
          <w:rtl w:val="0"/>
        </w:rPr>
        <w:t xml:space="preserve">: En aquest període de desenvolupament, és crucial proporcionar un espai de confiança per a la comunicació i l'expressió de qualsevol situació incòmoda o de vulnerabilitat.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Dones</w:t>
      </w:r>
      <w:r w:rsidDel="00000000" w:rsidR="00000000" w:rsidRPr="00000000">
        <w:rPr>
          <w:rtl w:val="0"/>
        </w:rPr>
        <w:t xml:space="preserve">: En molts contextos, les dones són víctimes de discriminació estructural, per la qual cosa es recomana atendre especialment les situacions de vulnerabilitat.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Persones amb identitats dissidents</w:t>
      </w:r>
      <w:r w:rsidDel="00000000" w:rsidR="00000000" w:rsidRPr="00000000">
        <w:rPr>
          <w:rtl w:val="0"/>
        </w:rPr>
        <w:t xml:space="preserve">: Persones no conformes amb les normatives de gènere i sexualitat establertes, com persones trans, no binàries o amb orientació sexual diversa, que poden ser objecte d’agressions i assetjament per raó d’identitat o orientació sexual.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Eines de Prevenció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accions de prevenció han de tenir en compte les causes estructurals de la discriminació i opressió. Per tant, l’entitat implementarà: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Tallers i activitats educatives</w:t>
      </w:r>
      <w:r w:rsidDel="00000000" w:rsidR="00000000" w:rsidRPr="00000000">
        <w:rPr>
          <w:rtl w:val="0"/>
        </w:rPr>
        <w:t xml:space="preserve"> sobre el respecte a les diferències de gènere, la diversitat sexual i l’igualtat de drets.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Formació contínua</w:t>
      </w:r>
      <w:r w:rsidDel="00000000" w:rsidR="00000000" w:rsidRPr="00000000">
        <w:rPr>
          <w:rtl w:val="0"/>
        </w:rPr>
        <w:t xml:space="preserve"> per a tots els membres de l’entitat, especialment els educadors i voluntaris/es, per identificar i prevenir situacions d’assetjament.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Espais segurs i de confiança</w:t>
      </w:r>
      <w:r w:rsidDel="00000000" w:rsidR="00000000" w:rsidRPr="00000000">
        <w:rPr>
          <w:rtl w:val="0"/>
        </w:rPr>
        <w:t xml:space="preserve">, on les víctimes d’assetjament puguin expressar-se sense por a represàlies.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Principis i Garanties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protocol es basa en una sèrie de principis fonamentals per a garantir un tracte respectuós i digne per a totes les persones implicades: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Respecte i protecció</w:t>
      </w:r>
      <w:r w:rsidDel="00000000" w:rsidR="00000000" w:rsidRPr="00000000">
        <w:rPr>
          <w:rtl w:val="0"/>
        </w:rPr>
        <w:t xml:space="preserve">: Es respectarà la dignitat de totes les persones afectades, i es prendran les mesures per garantir la seva protecció.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Confidencialitat</w:t>
      </w:r>
      <w:r w:rsidDel="00000000" w:rsidR="00000000" w:rsidRPr="00000000">
        <w:rPr>
          <w:rtl w:val="0"/>
        </w:rPr>
        <w:t xml:space="preserve">: Es garantirà la confidencialitat de les dades i identitats de les persones implicades en qualsevol moment.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Dret a la informació</w:t>
      </w:r>
      <w:r w:rsidDel="00000000" w:rsidR="00000000" w:rsidRPr="00000000">
        <w:rPr>
          <w:rtl w:val="0"/>
        </w:rPr>
        <w:t xml:space="preserve">: La persona afectada té dret a conèixer les opcions que té per actuar, així com el procés de resolució del conflicte.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Suport de professionals formats</w:t>
      </w:r>
      <w:r w:rsidDel="00000000" w:rsidR="00000000" w:rsidRPr="00000000">
        <w:rPr>
          <w:rtl w:val="0"/>
        </w:rPr>
        <w:t xml:space="preserve">: El protocol establirà canals d’assessorament especialitzat per a les víctimes i els responsables de gestionar els casos.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Diligència i celeritat</w:t>
      </w:r>
      <w:r w:rsidDel="00000000" w:rsidR="00000000" w:rsidRPr="00000000">
        <w:rPr>
          <w:rtl w:val="0"/>
        </w:rPr>
        <w:t xml:space="preserve">: Els processos d’investigació i resolució s’hauran de dur a terme amb la màxima diligència i en el temps més breu possible.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Tracte just</w:t>
      </w:r>
      <w:r w:rsidDel="00000000" w:rsidR="00000000" w:rsidRPr="00000000">
        <w:rPr>
          <w:rtl w:val="0"/>
        </w:rPr>
        <w:t xml:space="preserve">: Es garantirà el tracte just per a totes les persones implicades, evitant prejudicis o discriminacions.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Protecció davant possibles represàlies</w:t>
      </w:r>
      <w:r w:rsidDel="00000000" w:rsidR="00000000" w:rsidRPr="00000000">
        <w:rPr>
          <w:rtl w:val="0"/>
        </w:rPr>
        <w:t xml:space="preserve">: S’establiran mecanismes per protegir les persones denunciants davant possibles represàlies.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Col·laboració</w:t>
      </w:r>
      <w:r w:rsidDel="00000000" w:rsidR="00000000" w:rsidRPr="00000000">
        <w:rPr>
          <w:rtl w:val="0"/>
        </w:rPr>
        <w:t xml:space="preserve">: S’establirà una comunicació fluida entre els diferents agents implicats (pares, responsables de l’entitat, autoritats competents, etc.).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Mesures cautelars i vigilància de la salut</w:t>
      </w:r>
      <w:r w:rsidDel="00000000" w:rsidR="00000000" w:rsidRPr="00000000">
        <w:rPr>
          <w:rtl w:val="0"/>
        </w:rPr>
        <w:t xml:space="preserve">: En cas necessari, s’aplicaran mesures cautelars per garantir la seguretat física i emocional de les persones afectades.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Procediment d'Actuació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6.1. Via Interna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Fase 1: Comunicació i assessorament</w:t>
      </w:r>
      <w:r w:rsidDel="00000000" w:rsidR="00000000" w:rsidRPr="00000000">
        <w:rPr>
          <w:rtl w:val="0"/>
        </w:rPr>
        <w:t xml:space="preserve">: La persona afectada (o una persona de confiança) haurà de comunicar la situació a un responsable de l’entitat (un educador, coordinador, etc.). Es proporcionarà un assessorament inicial per conèixer les opcions disponibles.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Fase 2: Denúncia i investigació</w:t>
      </w:r>
      <w:r w:rsidDel="00000000" w:rsidR="00000000" w:rsidRPr="00000000">
        <w:rPr>
          <w:rtl w:val="0"/>
        </w:rPr>
        <w:t xml:space="preserve">: Si la persona afectada vol iniciar una denúncia formal, es farà una investigació interna per valorar els fets i identificar els responsables. Aquesta fase haurà de ser confidencial i tractada amb imparcialitat.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Fase 3: Resolució</w:t>
      </w:r>
      <w:r w:rsidDel="00000000" w:rsidR="00000000" w:rsidRPr="00000000">
        <w:rPr>
          <w:rtl w:val="0"/>
        </w:rPr>
        <w:t xml:space="preserve">: Un cop finalitzada la investigació, es prendran les mesures adequades per resoldre la situació, que poden incloure des de la mediació fins a sancions disciplinàries, segons la gravetat del cas.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6.2. Via Externa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la situació no es resol per via interna o si la persona afectada vol portar el cas a l’àmbit extern, es podran emprendre les següents accions: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Via Administrativa</w:t>
      </w:r>
      <w:r w:rsidDel="00000000" w:rsidR="00000000" w:rsidRPr="00000000">
        <w:rPr>
          <w:rtl w:val="0"/>
        </w:rPr>
        <w:t xml:space="preserve">: Es podrà presentar una denúncia davant els organismes públics competents per a la resolució administrativa.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Via Judicial</w:t>
      </w:r>
      <w:r w:rsidDel="00000000" w:rsidR="00000000" w:rsidRPr="00000000">
        <w:rPr>
          <w:rtl w:val="0"/>
        </w:rPr>
        <w:t xml:space="preserve">: Si la gravetat del cas ho requereix, la persona afectada podrà presentar una denúncia als jutjats per via penal.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Es</w:t>
      </w:r>
      <w:r w:rsidDel="00000000" w:rsidR="00000000" w:rsidRPr="00000000">
        <w:rPr>
          <w:b w:val="1"/>
          <w:bCs w:val="1"/>
          <w:rtl w:val="0"/>
        </w:rPr>
        <w:t xml:space="preserve">quema del Procediment d'Actuació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procediment d'actuació es divideix en la Via Interna (gestionada per l'entitat) i, si cal, la Via Externa (òrgans competents).</w:t>
      </w:r>
    </w:p>
    <w:p w:rsidR="00000000" w:rsidDel="00000000" w:rsidP="00000000" w:rsidRDefault="00000000" w:rsidRPr="00000000" w14:paraId="0000003A">
      <w:pPr>
        <w:spacing w:after="240" w:before="240" w:line="342.85714285714283" w:lineRule="auto"/>
        <w:rPr/>
      </w:pPr>
      <w:r w:rsidDel="00000000" w:rsidR="00000000" w:rsidRPr="00000000">
        <w:rPr>
          <w:rtl w:val="0"/>
        </w:rPr>
        <w:t xml:space="preserve">I. Inici del Procediment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Situació: Es detecta o es comunica una situació d’assetjament sexual (comportaments d'índole sexual no desitjats, incloent contactes físics, comentaris degradants o creació d'un ambient hostil).</w:t>
      </w:r>
    </w:p>
    <w:p w:rsidR="00000000" w:rsidDel="00000000" w:rsidP="00000000" w:rsidRDefault="00000000" w:rsidRPr="00000000" w14:paraId="0000003C">
      <w:pPr>
        <w:spacing w:after="240" w:before="240" w:line="342.85714285714283" w:lineRule="auto"/>
        <w:rPr/>
      </w:pPr>
      <w:r w:rsidDel="00000000" w:rsidR="00000000" w:rsidRPr="00000000">
        <w:rPr>
          <w:rtl w:val="0"/>
        </w:rPr>
        <w:t xml:space="preserve">II. Via Interna (Procediment dins l'Entitat)</w:t>
      </w:r>
    </w:p>
    <w:tbl>
      <w:tblPr>
        <w:tblStyle w:val="Table1"/>
        <w:tblW w:w="9025.511811023624" w:type="dxa"/>
        <w:jc w:val="left"/>
        <w:tblBorders>
          <w:top w:color="e8eaed" w:space="0" w:sz="5" w:val="single"/>
          <w:left w:color="e8eaed" w:space="0" w:sz="5" w:val="single"/>
          <w:bottom w:color="e8eaed" w:space="0" w:sz="5" w:val="single"/>
          <w:right w:color="e8eaed" w:space="0" w:sz="5" w:val="single"/>
          <w:insideH w:color="e8eaed" w:space="0" w:sz="5" w:val="single"/>
          <w:insideV w:color="e8eaed" w:space="0" w:sz="5" w:val="single"/>
        </w:tblBorders>
        <w:tblLayout w:type="fixed"/>
        <w:tblLook w:val="0600"/>
      </w:tblPr>
      <w:tblGrid>
        <w:gridCol w:w="2075.4868932522677"/>
        <w:gridCol w:w="1961.2399083026016"/>
        <w:gridCol w:w="4988.785009468754"/>
        <w:tblGridChange w:id="0">
          <w:tblGrid>
            <w:gridCol w:w="2075.4868932522677"/>
            <w:gridCol w:w="1961.2399083026016"/>
            <w:gridCol w:w="4988.785009468754"/>
          </w:tblGrid>
        </w:tblGridChange>
      </w:tblGrid>
      <w:tr>
        <w:trPr>
          <w:cantSplit w:val="0"/>
          <w:trHeight w:val="87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Fase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Acció Clau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 i Garanties</w:t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Fase 1: Comunicació i Assessorament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Notificació a un responsable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 persona afectada, o una persona de confiança, comunica la situació a un responsable de l’entitat (educador/a, coordinador/a, etc.).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Assessorament inicial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 proporciona assessorament especialitzat per a la víctima. La persona afectada té dret a conèixer les opcions disponibles per actuar.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Fase 2: Denúncia i Investigació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Inici de Denúncia Formal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 la persona afectada decideix formalitzar la denúncia.</w:t>
            </w:r>
          </w:p>
        </w:tc>
      </w:tr>
      <w:tr>
        <w:trPr>
          <w:cantSplit w:val="0"/>
          <w:trHeight w:val="240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Investigació interna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 realitza una investigació per valorar els fets i identificar els responsables. Aquesta fase ha de ser confidencial i tractada amb imparcialitat. Els processos es duen a terme amb diligència i celeritat.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Fase 3: Resolució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Mesures Resolutives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Un cop finalitzada la investigació, es prenen les mesures adequades per resoldre la situació.</w:t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Tipus de Resolució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Les mesures poden anar des de la mediació fins a sancions disciplinàries (com amonestació verbal, suspensió temporal o expulsió temporal/definitiva), depenent de la gravetat del cas. Es poden aplicar mesures cautelars per garantir la seguretat física i emocional.</w:t>
            </w:r>
          </w:p>
        </w:tc>
      </w:tr>
    </w:tbl>
    <w:p w:rsidR="00000000" w:rsidDel="00000000" w:rsidP="00000000" w:rsidRDefault="00000000" w:rsidRPr="00000000" w14:paraId="00000052">
      <w:pPr>
        <w:spacing w:after="240" w:before="240" w:line="342.85714285714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="342.8571428571428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342.85714285714283" w:lineRule="auto"/>
        <w:rPr/>
      </w:pPr>
      <w:r w:rsidDel="00000000" w:rsidR="00000000" w:rsidRPr="00000000">
        <w:rPr>
          <w:rtl w:val="0"/>
        </w:rPr>
        <w:t xml:space="preserve">III. Passos Concomitants i Sortides Possibles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protocol preveu la possibilitat d'emprendre accions externes si la situació no es resol internament o si la persona afectada ho decideix des del principi.</w:t>
      </w:r>
    </w:p>
    <w:tbl>
      <w:tblPr>
        <w:tblStyle w:val="Table2"/>
        <w:tblW w:w="9025.511811023624" w:type="dxa"/>
        <w:jc w:val="left"/>
        <w:tblBorders>
          <w:top w:color="e8eaed" w:space="0" w:sz="5" w:val="single"/>
          <w:left w:color="e8eaed" w:space="0" w:sz="5" w:val="single"/>
          <w:bottom w:color="e8eaed" w:space="0" w:sz="5" w:val="single"/>
          <w:right w:color="e8eaed" w:space="0" w:sz="5" w:val="single"/>
          <w:insideH w:color="e8eaed" w:space="0" w:sz="5" w:val="single"/>
          <w:insideV w:color="e8eaed" w:space="0" w:sz="5" w:val="single"/>
        </w:tblBorders>
        <w:tblLayout w:type="fixed"/>
        <w:tblLook w:val="0600"/>
      </w:tblPr>
      <w:tblGrid>
        <w:gridCol w:w="1430.5840205993209"/>
        <w:gridCol w:w="2043.69145799903"/>
        <w:gridCol w:w="5551.236332425273"/>
        <w:tblGridChange w:id="0">
          <w:tblGrid>
            <w:gridCol w:w="1430.5840205993209"/>
            <w:gridCol w:w="2043.69145799903"/>
            <w:gridCol w:w="5551.236332425273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Via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Condició / Tipus d'Acció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Descripció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Opció de Sortida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Via Externa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S'activa si la situació no es resol per via interna o si la persona afectada vol portar el cas a l’àmbit extern.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Opció 1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Via Administrativa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Es pot presentar una denúncia davant els organismes públics competents per a la resolució administrativa.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Opció 2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Via Judicial</w:t>
            </w:r>
          </w:p>
        </w:tc>
        <w:tc>
          <w:tcPr>
            <w:tcBorders>
              <w:top w:color="e8eaed" w:space="0" w:sz="5" w:val="single"/>
              <w:left w:color="e8eaed" w:space="0" w:sz="5" w:val="single"/>
              <w:bottom w:color="e8eaed" w:space="0" w:sz="5" w:val="single"/>
              <w:right w:color="e8eae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 la gravetat del cas ho requereix, es pot presentar una denúncia als jutjats per via penal.</w:t>
            </w:r>
          </w:p>
        </w:tc>
      </w:tr>
    </w:tbl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Context Addicional: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protocol també estableix que s'han de prendre mesures específiques per protegir persones amb un vincle de poder (quan l'assetjador és un monitor/a o adult amb autoritat) i garantir la protecció davant possibles represàlies (accions que busquen venjar-se per la denúncia). A més, tots els membres adults de la Junta i els voluntaris han de presentar anualment el Certificat de Penals.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Aquest flux d'actuació és comparable al procés d'emergència en un edifici: primer, s'activa l'alarma (Comunicació) per alertar els responsables interns, i després, s'avalua el dany (Investigació) per determinar si el problema es pot resoldre amb els recursos interns (Resolució interna) o si cal trucar als serveis externs (Bombers/Policia, corresponent a la Via Externa).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Glossari de Termes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Assetjament Sexual</w:t>
      </w:r>
      <w:r w:rsidDel="00000000" w:rsidR="00000000" w:rsidRPr="00000000">
        <w:rPr>
          <w:rtl w:val="0"/>
        </w:rPr>
        <w:t xml:space="preserve">: Conductes de caràcter sexual no desitjades que causen malestar o danys a la persona afectada.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Vincle de Poder</w:t>
      </w:r>
      <w:r w:rsidDel="00000000" w:rsidR="00000000" w:rsidRPr="00000000">
        <w:rPr>
          <w:rtl w:val="0"/>
        </w:rPr>
        <w:t xml:space="preserve">: Relació en què una persona té autoritat o influència sobre una altra (ex. monitor/a, adult de l’entitat).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Represàlies</w:t>
      </w:r>
      <w:r w:rsidDel="00000000" w:rsidR="00000000" w:rsidRPr="00000000">
        <w:rPr>
          <w:rtl w:val="0"/>
        </w:rPr>
        <w:t xml:space="preserve">: Accions que busquen venjar-se o castigar a una persona per haver denunciat una situació d’assetjament.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Conclusió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Aquest protocol busca establir un marc de seguretat, respecte i confiança per a tots els membres de l’entitat, garantint la protecció i la igualtat de drets davant de qualsevol situació d’assetjament sexual.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